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C923C" w14:textId="251AA8D3" w:rsidR="009C4E62" w:rsidRPr="009C4E62" w:rsidRDefault="009C4E62" w:rsidP="009C4E62">
      <w:pPr>
        <w:rPr>
          <w:sz w:val="32"/>
          <w:szCs w:val="32"/>
        </w:rPr>
      </w:pPr>
      <w:r w:rsidRPr="009C4E62">
        <w:rPr>
          <w:b/>
          <w:bCs/>
          <w:sz w:val="32"/>
          <w:szCs w:val="32"/>
        </w:rPr>
        <w:t xml:space="preserve">Genders and Sexualities in the Social Sciences </w:t>
      </w:r>
    </w:p>
    <w:p w14:paraId="7DB2D771" w14:textId="77777777" w:rsidR="009C4E62" w:rsidRDefault="009C4E62" w:rsidP="009C4E62">
      <w:r>
        <w:rPr>
          <w:sz w:val="22"/>
          <w:szCs w:val="22"/>
        </w:rPr>
        <w:t> </w:t>
      </w:r>
    </w:p>
    <w:p w14:paraId="69B9A209" w14:textId="37BF6412" w:rsidR="009C4E62" w:rsidRDefault="009C4E62" w:rsidP="009C4E62">
      <w:pPr>
        <w:pStyle w:val="p2"/>
      </w:pPr>
      <w:r>
        <w:rPr>
          <w:sz w:val="22"/>
          <w:szCs w:val="22"/>
        </w:rPr>
        <w:t> </w:t>
      </w:r>
      <w:r>
        <w:rPr>
          <w:rStyle w:val="s2"/>
          <w:b/>
          <w:bCs/>
          <w:sz w:val="24"/>
          <w:szCs w:val="24"/>
        </w:rPr>
        <w:t>Call for Proposals</w:t>
      </w:r>
    </w:p>
    <w:p w14:paraId="118A1AE6" w14:textId="77777777" w:rsidR="009C4E62" w:rsidRDefault="009C4E62" w:rsidP="009C4E62">
      <w:pPr>
        <w:pStyle w:val="p2"/>
      </w:pPr>
      <w:r>
        <w:rPr>
          <w:sz w:val="22"/>
          <w:szCs w:val="22"/>
        </w:rPr>
        <w:t> </w:t>
      </w:r>
    </w:p>
    <w:p w14:paraId="1D669FBE" w14:textId="446EE39A" w:rsidR="009C4E62" w:rsidRDefault="009C4E62" w:rsidP="009C4E62">
      <w:pPr>
        <w:pStyle w:val="p2"/>
      </w:pPr>
      <w:r>
        <w:rPr>
          <w:rStyle w:val="s2"/>
          <w:b/>
          <w:bCs/>
          <w:sz w:val="24"/>
          <w:szCs w:val="24"/>
        </w:rPr>
        <w:t> </w:t>
      </w:r>
      <w:r>
        <w:rPr>
          <w:rStyle w:val="s3"/>
          <w:b/>
          <w:bCs/>
          <w:sz w:val="24"/>
          <w:szCs w:val="24"/>
        </w:rPr>
        <w:t>SERIES EDITORS</w:t>
      </w:r>
    </w:p>
    <w:p w14:paraId="126CF254" w14:textId="70E427C8" w:rsidR="009C4E62" w:rsidRDefault="009C4E62" w:rsidP="009C4E62">
      <w:pPr>
        <w:pStyle w:val="p2"/>
      </w:pPr>
      <w:r>
        <w:rPr>
          <w:sz w:val="22"/>
          <w:szCs w:val="22"/>
        </w:rPr>
        <w:t> </w:t>
      </w:r>
      <w:r>
        <w:rPr>
          <w:b/>
          <w:bCs/>
          <w:sz w:val="24"/>
          <w:szCs w:val="24"/>
        </w:rPr>
        <w:t>Diane Richardson</w:t>
      </w:r>
      <w:r>
        <w:rPr>
          <w:rStyle w:val="s4"/>
          <w:b/>
          <w:bCs/>
          <w:sz w:val="24"/>
          <w:szCs w:val="24"/>
        </w:rPr>
        <w:t xml:space="preserve">, </w:t>
      </w:r>
      <w:r>
        <w:rPr>
          <w:sz w:val="24"/>
          <w:szCs w:val="24"/>
        </w:rPr>
        <w:t>School of Geography, Politics and Sociology, Newcastle University, UK</w:t>
      </w:r>
    </w:p>
    <w:p w14:paraId="78992899" w14:textId="77777777" w:rsidR="009C4E62" w:rsidRDefault="009C4E62" w:rsidP="009C4E62">
      <w:pPr>
        <w:pStyle w:val="p3"/>
      </w:pPr>
      <w:r>
        <w:rPr>
          <w:sz w:val="22"/>
          <w:szCs w:val="22"/>
        </w:rPr>
        <w:t> </w:t>
      </w:r>
    </w:p>
    <w:p w14:paraId="26B77C9B" w14:textId="77777777" w:rsidR="009C4E62" w:rsidRDefault="009C4E62" w:rsidP="009C4E62">
      <w:pPr>
        <w:pStyle w:val="p3"/>
      </w:pPr>
      <w:r>
        <w:rPr>
          <w:b/>
          <w:bCs/>
          <w:sz w:val="24"/>
          <w:szCs w:val="24"/>
        </w:rPr>
        <w:t>Victoria Robinson</w:t>
      </w:r>
      <w:r>
        <w:rPr>
          <w:rStyle w:val="s4"/>
          <w:b/>
          <w:bCs/>
          <w:sz w:val="24"/>
          <w:szCs w:val="24"/>
        </w:rPr>
        <w:t xml:space="preserve">, </w:t>
      </w:r>
      <w:r>
        <w:rPr>
          <w:sz w:val="24"/>
          <w:szCs w:val="24"/>
        </w:rPr>
        <w:t>Centre for Women’s Studies, University of York, UK</w:t>
      </w:r>
    </w:p>
    <w:p w14:paraId="49432C42" w14:textId="77777777" w:rsidR="009C4E62" w:rsidRDefault="009C4E62" w:rsidP="009C4E62">
      <w:pPr>
        <w:pStyle w:val="p3"/>
      </w:pPr>
      <w:r>
        <w:rPr>
          <w:sz w:val="22"/>
          <w:szCs w:val="22"/>
        </w:rPr>
        <w:t> </w:t>
      </w:r>
    </w:p>
    <w:p w14:paraId="751FE6C2" w14:textId="6A07D354" w:rsidR="009C4E62" w:rsidRDefault="009C4E62" w:rsidP="009C4E62">
      <w:pPr>
        <w:pStyle w:val="p3"/>
      </w:pPr>
      <w:r>
        <w:rPr>
          <w:rStyle w:val="s3"/>
          <w:b/>
          <w:bCs/>
          <w:sz w:val="24"/>
          <w:szCs w:val="24"/>
        </w:rPr>
        <w:t>ABOUT THE SERIES</w:t>
      </w:r>
    </w:p>
    <w:p w14:paraId="6C9E606E" w14:textId="2B51B08A" w:rsidR="009C4E62" w:rsidRDefault="009C4E62" w:rsidP="009C4E62">
      <w:pPr>
        <w:pStyle w:val="p4"/>
      </w:pPr>
      <w:r>
        <w:rPr>
          <w:sz w:val="24"/>
          <w:szCs w:val="24"/>
        </w:rPr>
        <w:t xml:space="preserve">The study of gender and sexuality has developed dramatically over recent years, with a changing theoretical landscape that has seen innovative work emerge on for example identity, the body and embodiment, masculinities, queer theory, technology, space, and the concept of gender itself. This exciting and now well-established Series showcases such developments emphasizing new, original work that engages both theoretically and empirically with the themes of gender, sexuality, and, crucially, their intersections, to set a new, vibrant and contemporary international agenda for research in this area. </w:t>
      </w:r>
    </w:p>
    <w:p w14:paraId="2A3C8B13" w14:textId="4D3A52FD" w:rsidR="009C4E62" w:rsidRDefault="009C4E62" w:rsidP="009C4E62">
      <w:pPr>
        <w:pStyle w:val="p4"/>
      </w:pPr>
      <w:r>
        <w:rPr>
          <w:sz w:val="24"/>
          <w:szCs w:val="24"/>
        </w:rPr>
        <w:t> </w:t>
      </w:r>
      <w:r>
        <w:rPr>
          <w:b/>
          <w:bCs/>
          <w:sz w:val="24"/>
          <w:szCs w:val="24"/>
        </w:rPr>
        <w:t>We are particularly looking for submissions of proposals that focus on:</w:t>
      </w:r>
    </w:p>
    <w:p w14:paraId="6FB02D78" w14:textId="77777777" w:rsidR="009C4E62" w:rsidRDefault="009C4E62" w:rsidP="009C4E62">
      <w:pPr>
        <w:pStyle w:val="p4"/>
      </w:pPr>
      <w:r>
        <w:rPr>
          <w:sz w:val="22"/>
          <w:szCs w:val="22"/>
        </w:rPr>
        <w:t> </w:t>
      </w:r>
    </w:p>
    <w:p w14:paraId="54CD3F11" w14:textId="77777777" w:rsidR="009C4E62" w:rsidRDefault="009C4E62" w:rsidP="009C4E62">
      <w:pPr>
        <w:pStyle w:val="p4"/>
      </w:pPr>
      <w:r>
        <w:rPr>
          <w:sz w:val="24"/>
          <w:szCs w:val="24"/>
        </w:rPr>
        <w:t>•Critical femininity studies</w:t>
      </w:r>
    </w:p>
    <w:p w14:paraId="60F94D5C" w14:textId="77777777" w:rsidR="009C4E62" w:rsidRDefault="009C4E62" w:rsidP="009C4E62">
      <w:pPr>
        <w:pStyle w:val="p4"/>
      </w:pPr>
      <w:r>
        <w:rPr>
          <w:sz w:val="22"/>
          <w:szCs w:val="22"/>
        </w:rPr>
        <w:t> </w:t>
      </w:r>
    </w:p>
    <w:p w14:paraId="5719A89F" w14:textId="77777777" w:rsidR="009C4E62" w:rsidRDefault="009C4E62" w:rsidP="009C4E62">
      <w:pPr>
        <w:pStyle w:val="p4"/>
      </w:pPr>
      <w:r>
        <w:rPr>
          <w:sz w:val="24"/>
          <w:szCs w:val="24"/>
        </w:rPr>
        <w:t>•Gender and social movements (including opposition to sexual, racial and gender equalities and anti-gender campaigns)</w:t>
      </w:r>
    </w:p>
    <w:p w14:paraId="0E66D2AD" w14:textId="77777777" w:rsidR="009C4E62" w:rsidRDefault="009C4E62" w:rsidP="009C4E62">
      <w:pPr>
        <w:pStyle w:val="p4"/>
      </w:pPr>
      <w:r>
        <w:rPr>
          <w:sz w:val="22"/>
          <w:szCs w:val="22"/>
        </w:rPr>
        <w:t> </w:t>
      </w:r>
    </w:p>
    <w:p w14:paraId="19ACF471" w14:textId="77777777" w:rsidR="009C4E62" w:rsidRDefault="009C4E62" w:rsidP="009C4E62">
      <w:pPr>
        <w:pStyle w:val="p4"/>
      </w:pPr>
      <w:r>
        <w:rPr>
          <w:sz w:val="24"/>
          <w:szCs w:val="24"/>
        </w:rPr>
        <w:t>•</w:t>
      </w:r>
      <w:proofErr w:type="spellStart"/>
      <w:r>
        <w:rPr>
          <w:sz w:val="24"/>
          <w:szCs w:val="24"/>
        </w:rPr>
        <w:t>Heterosexualities</w:t>
      </w:r>
      <w:proofErr w:type="spellEnd"/>
    </w:p>
    <w:p w14:paraId="1B2A525E" w14:textId="77777777" w:rsidR="009C4E62" w:rsidRDefault="009C4E62" w:rsidP="009C4E62">
      <w:pPr>
        <w:pStyle w:val="p4"/>
      </w:pPr>
      <w:r>
        <w:rPr>
          <w:sz w:val="22"/>
          <w:szCs w:val="22"/>
        </w:rPr>
        <w:t> </w:t>
      </w:r>
    </w:p>
    <w:p w14:paraId="41A6A648" w14:textId="77777777" w:rsidR="009C4E62" w:rsidRDefault="009C4E62" w:rsidP="009C4E62">
      <w:pPr>
        <w:pStyle w:val="p4"/>
      </w:pPr>
      <w:r>
        <w:rPr>
          <w:sz w:val="24"/>
          <w:szCs w:val="24"/>
        </w:rPr>
        <w:t>•Postcolonial and decolonial approaches</w:t>
      </w:r>
    </w:p>
    <w:p w14:paraId="3145F299" w14:textId="77777777" w:rsidR="009C4E62" w:rsidRDefault="009C4E62" w:rsidP="009C4E62">
      <w:pPr>
        <w:pStyle w:val="p4"/>
      </w:pPr>
      <w:r>
        <w:rPr>
          <w:sz w:val="22"/>
          <w:szCs w:val="22"/>
        </w:rPr>
        <w:t> </w:t>
      </w:r>
    </w:p>
    <w:p w14:paraId="63789446" w14:textId="77777777" w:rsidR="009C4E62" w:rsidRDefault="009C4E62" w:rsidP="009C4E62">
      <w:pPr>
        <w:pStyle w:val="p4"/>
      </w:pPr>
      <w:r>
        <w:rPr>
          <w:sz w:val="24"/>
          <w:szCs w:val="24"/>
        </w:rPr>
        <w:t>•Debates about intersex</w:t>
      </w:r>
    </w:p>
    <w:p w14:paraId="23DD2037" w14:textId="77777777" w:rsidR="009C4E62" w:rsidRDefault="009C4E62" w:rsidP="009C4E62">
      <w:pPr>
        <w:pStyle w:val="p4"/>
      </w:pPr>
      <w:r>
        <w:rPr>
          <w:sz w:val="22"/>
          <w:szCs w:val="22"/>
        </w:rPr>
        <w:t> </w:t>
      </w:r>
    </w:p>
    <w:p w14:paraId="7529AF33" w14:textId="77777777" w:rsidR="009C4E62" w:rsidRDefault="009C4E62" w:rsidP="009C4E62">
      <w:pPr>
        <w:pStyle w:val="p4"/>
      </w:pPr>
      <w:r>
        <w:rPr>
          <w:sz w:val="24"/>
          <w:szCs w:val="24"/>
        </w:rPr>
        <w:t>•Gender in and beyond Covid-19</w:t>
      </w:r>
    </w:p>
    <w:p w14:paraId="5B3333D5" w14:textId="77777777" w:rsidR="009C4E62" w:rsidRDefault="009C4E62" w:rsidP="009C4E62">
      <w:pPr>
        <w:pStyle w:val="p4"/>
      </w:pPr>
      <w:r>
        <w:rPr>
          <w:sz w:val="22"/>
          <w:szCs w:val="22"/>
        </w:rPr>
        <w:t> </w:t>
      </w:r>
    </w:p>
    <w:p w14:paraId="56585967" w14:textId="77777777" w:rsidR="009C4E62" w:rsidRDefault="009C4E62" w:rsidP="009C4E62">
      <w:pPr>
        <w:pStyle w:val="p4"/>
      </w:pPr>
      <w:r>
        <w:rPr>
          <w:sz w:val="24"/>
          <w:szCs w:val="24"/>
        </w:rPr>
        <w:t>•Nonbinary and gender diversity research</w:t>
      </w:r>
    </w:p>
    <w:p w14:paraId="166ABB42" w14:textId="77777777" w:rsidR="009C4E62" w:rsidRDefault="009C4E62" w:rsidP="009C4E62">
      <w:pPr>
        <w:pStyle w:val="p4"/>
      </w:pPr>
      <w:r>
        <w:rPr>
          <w:sz w:val="22"/>
          <w:szCs w:val="22"/>
        </w:rPr>
        <w:t> </w:t>
      </w:r>
    </w:p>
    <w:p w14:paraId="179E899A" w14:textId="77777777" w:rsidR="009C4E62" w:rsidRDefault="009C4E62" w:rsidP="009C4E62">
      <w:pPr>
        <w:pStyle w:val="p4"/>
      </w:pPr>
      <w:r>
        <w:rPr>
          <w:sz w:val="24"/>
          <w:szCs w:val="24"/>
        </w:rPr>
        <w:t>•The future of gender</w:t>
      </w:r>
    </w:p>
    <w:p w14:paraId="38119C62" w14:textId="77777777" w:rsidR="009C4E62" w:rsidRDefault="009C4E62" w:rsidP="009C4E62">
      <w:pPr>
        <w:pStyle w:val="p4"/>
      </w:pPr>
      <w:r>
        <w:rPr>
          <w:sz w:val="22"/>
          <w:szCs w:val="22"/>
        </w:rPr>
        <w:t> </w:t>
      </w:r>
    </w:p>
    <w:p w14:paraId="16A9215D" w14:textId="518E97A4" w:rsidR="009C4E62" w:rsidRDefault="009C4E62" w:rsidP="009C4E62">
      <w:pPr>
        <w:pStyle w:val="p4"/>
        <w:rPr>
          <w:sz w:val="24"/>
          <w:szCs w:val="24"/>
        </w:rPr>
      </w:pPr>
      <w:r>
        <w:rPr>
          <w:sz w:val="24"/>
          <w:szCs w:val="24"/>
        </w:rPr>
        <w:t>•Intersecting inequalities</w:t>
      </w:r>
    </w:p>
    <w:p w14:paraId="665C3F59" w14:textId="77777777" w:rsidR="009C4E62" w:rsidRDefault="009C4E62" w:rsidP="009C4E62">
      <w:pPr>
        <w:pStyle w:val="p4"/>
      </w:pPr>
    </w:p>
    <w:p w14:paraId="5D7A988A" w14:textId="2DFC9058" w:rsidR="009C4E62" w:rsidRDefault="009C4E62" w:rsidP="009C4E62">
      <w:pPr>
        <w:pStyle w:val="p4"/>
      </w:pPr>
      <w:r>
        <w:rPr>
          <w:sz w:val="22"/>
          <w:szCs w:val="22"/>
        </w:rPr>
        <w:t> </w:t>
      </w:r>
      <w:r>
        <w:rPr>
          <w:rStyle w:val="s5"/>
          <w:b/>
          <w:bCs/>
          <w:sz w:val="24"/>
          <w:szCs w:val="24"/>
        </w:rPr>
        <w:t>CONTACT FOR PROPOSALS</w:t>
      </w:r>
    </w:p>
    <w:p w14:paraId="4247C995" w14:textId="492FA147" w:rsidR="009C4E62" w:rsidRDefault="009C4E62" w:rsidP="009C4E62">
      <w:pPr>
        <w:pStyle w:val="p4"/>
      </w:pPr>
      <w:r>
        <w:rPr>
          <w:sz w:val="22"/>
          <w:szCs w:val="22"/>
        </w:rPr>
        <w:t> </w:t>
      </w:r>
      <w:r>
        <w:rPr>
          <w:sz w:val="24"/>
          <w:szCs w:val="24"/>
        </w:rPr>
        <w:t xml:space="preserve">For further information about the series or if you would like to discuss a proposal please </w:t>
      </w:r>
      <w:proofErr w:type="gramStart"/>
      <w:r>
        <w:rPr>
          <w:sz w:val="24"/>
          <w:szCs w:val="24"/>
        </w:rPr>
        <w:t>contact:</w:t>
      </w:r>
      <w:proofErr w:type="gramEnd"/>
      <w:r>
        <w:rPr>
          <w:sz w:val="24"/>
          <w:szCs w:val="24"/>
        </w:rPr>
        <w:t xml:space="preserve"> </w:t>
      </w:r>
      <w:r>
        <w:rPr>
          <w:b/>
          <w:bCs/>
          <w:sz w:val="24"/>
          <w:szCs w:val="24"/>
        </w:rPr>
        <w:t xml:space="preserve">Nina </w:t>
      </w:r>
      <w:proofErr w:type="spellStart"/>
      <w:r>
        <w:rPr>
          <w:b/>
          <w:bCs/>
          <w:sz w:val="24"/>
          <w:szCs w:val="24"/>
        </w:rPr>
        <w:t>Guttapalle</w:t>
      </w:r>
      <w:proofErr w:type="spellEnd"/>
      <w:r>
        <w:rPr>
          <w:b/>
          <w:bCs/>
          <w:sz w:val="24"/>
          <w:szCs w:val="24"/>
        </w:rPr>
        <w:t xml:space="preserve">, </w:t>
      </w:r>
      <w:r>
        <w:rPr>
          <w:sz w:val="24"/>
          <w:szCs w:val="24"/>
        </w:rPr>
        <w:t xml:space="preserve">Commissioning Editor, </w:t>
      </w:r>
    </w:p>
    <w:p w14:paraId="570D3717" w14:textId="77777777" w:rsidR="009C4E62" w:rsidRDefault="009C4E62" w:rsidP="009C4E62">
      <w:pPr>
        <w:pStyle w:val="p4"/>
      </w:pPr>
      <w:r>
        <w:rPr>
          <w:sz w:val="22"/>
          <w:szCs w:val="22"/>
        </w:rPr>
        <w:t> </w:t>
      </w:r>
    </w:p>
    <w:p w14:paraId="31073EA7" w14:textId="77777777" w:rsidR="009C4E62" w:rsidRDefault="009C4E62" w:rsidP="009C4E62">
      <w:pPr>
        <w:pStyle w:val="p4"/>
      </w:pPr>
      <w:r>
        <w:rPr>
          <w:sz w:val="24"/>
          <w:szCs w:val="24"/>
        </w:rPr>
        <w:fldChar w:fldCharType="begin"/>
      </w:r>
      <w:r>
        <w:rPr>
          <w:sz w:val="24"/>
          <w:szCs w:val="24"/>
        </w:rPr>
        <w:instrText xml:space="preserve"> HYPERLINK "mailto:nina.guttapalle@palgrave-usa.com" </w:instrText>
      </w:r>
      <w:r>
        <w:rPr>
          <w:sz w:val="24"/>
          <w:szCs w:val="24"/>
        </w:rPr>
        <w:fldChar w:fldCharType="separate"/>
      </w:r>
      <w:r>
        <w:rPr>
          <w:rStyle w:val="Hyperlink"/>
          <w:sz w:val="24"/>
          <w:szCs w:val="24"/>
        </w:rPr>
        <w:t>nina.guttapalle@palgrave-usa.com</w:t>
      </w:r>
      <w:r>
        <w:rPr>
          <w:sz w:val="24"/>
          <w:szCs w:val="24"/>
        </w:rPr>
        <w:fldChar w:fldCharType="end"/>
      </w:r>
    </w:p>
    <w:p w14:paraId="7DFB6993" w14:textId="77777777" w:rsidR="009C4E62" w:rsidRDefault="009C4E62" w:rsidP="009C4E62">
      <w:pPr>
        <w:pStyle w:val="p4"/>
      </w:pPr>
      <w:r>
        <w:rPr>
          <w:sz w:val="24"/>
          <w:szCs w:val="24"/>
        </w:rPr>
        <w:t> </w:t>
      </w:r>
    </w:p>
    <w:p w14:paraId="310E3599" w14:textId="77777777" w:rsidR="009C4E62" w:rsidRDefault="009C4E62" w:rsidP="009C4E62">
      <w:pPr>
        <w:pStyle w:val="p5"/>
      </w:pPr>
      <w:r>
        <w:rPr>
          <w:rStyle w:val="s6"/>
          <w:sz w:val="24"/>
          <w:szCs w:val="24"/>
        </w:rPr>
        <w:t>Explore the series now</w:t>
      </w:r>
      <w:r>
        <w:rPr>
          <w:sz w:val="24"/>
          <w:szCs w:val="24"/>
        </w:rPr>
        <w:t>: https://www.palgrave.com/gp/series/15001</w:t>
      </w:r>
    </w:p>
    <w:p w14:paraId="38C556EE" w14:textId="3105CBA6" w:rsidR="00524ABF" w:rsidRDefault="009C4E62" w:rsidP="009C4E62">
      <w:pPr>
        <w:pStyle w:val="p6"/>
      </w:pPr>
      <w:r>
        <w:rPr>
          <w:sz w:val="24"/>
          <w:szCs w:val="24"/>
        </w:rPr>
        <w:t>Learn more at palgrave.com</w:t>
      </w:r>
      <w:r>
        <w:rPr>
          <w:sz w:val="24"/>
          <w:szCs w:val="24"/>
        </w:rPr>
        <w:t xml:space="preserve"> </w:t>
      </w:r>
      <w:r>
        <w:rPr>
          <w:sz w:val="24"/>
          <w:szCs w:val="24"/>
        </w:rPr>
        <w:t>A97080</w:t>
      </w:r>
    </w:p>
    <w:sectPr w:rsidR="00524ABF" w:rsidSect="00CE749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E62"/>
    <w:rsid w:val="0004360A"/>
    <w:rsid w:val="00052A18"/>
    <w:rsid w:val="0005460A"/>
    <w:rsid w:val="001E7559"/>
    <w:rsid w:val="004674EA"/>
    <w:rsid w:val="00575767"/>
    <w:rsid w:val="005F4B5E"/>
    <w:rsid w:val="0064207E"/>
    <w:rsid w:val="009123A9"/>
    <w:rsid w:val="009C4E62"/>
    <w:rsid w:val="009D59E2"/>
    <w:rsid w:val="00C15E45"/>
    <w:rsid w:val="00CE7499"/>
    <w:rsid w:val="00D27883"/>
    <w:rsid w:val="00E500F3"/>
    <w:rsid w:val="00F619EE"/>
    <w:rsid w:val="00FD3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BB381AD"/>
  <w15:chartTrackingRefBased/>
  <w15:docId w15:val="{0198267C-1E33-F847-92E9-AA928FCA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E62"/>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4E62"/>
    <w:rPr>
      <w:color w:val="0563C1"/>
      <w:u w:val="single"/>
    </w:rPr>
  </w:style>
  <w:style w:type="paragraph" w:customStyle="1" w:styleId="p2">
    <w:name w:val="p2"/>
    <w:basedOn w:val="Normal"/>
    <w:rsid w:val="009C4E62"/>
    <w:pPr>
      <w:spacing w:line="182" w:lineRule="atLeast"/>
    </w:pPr>
    <w:rPr>
      <w:sz w:val="36"/>
      <w:szCs w:val="36"/>
      <w:lang w:eastAsia="en-GB"/>
    </w:rPr>
  </w:style>
  <w:style w:type="paragraph" w:customStyle="1" w:styleId="p3">
    <w:name w:val="p3"/>
    <w:basedOn w:val="Normal"/>
    <w:rsid w:val="009C4E62"/>
    <w:pPr>
      <w:spacing w:line="182" w:lineRule="atLeast"/>
    </w:pPr>
    <w:rPr>
      <w:sz w:val="15"/>
      <w:szCs w:val="15"/>
      <w:lang w:eastAsia="en-GB"/>
    </w:rPr>
  </w:style>
  <w:style w:type="paragraph" w:customStyle="1" w:styleId="p4">
    <w:name w:val="p4"/>
    <w:basedOn w:val="Normal"/>
    <w:rsid w:val="009C4E62"/>
    <w:pPr>
      <w:spacing w:before="30" w:line="152" w:lineRule="atLeast"/>
    </w:pPr>
    <w:rPr>
      <w:sz w:val="15"/>
      <w:szCs w:val="15"/>
      <w:lang w:eastAsia="en-GB"/>
    </w:rPr>
  </w:style>
  <w:style w:type="paragraph" w:customStyle="1" w:styleId="p5">
    <w:name w:val="p5"/>
    <w:basedOn w:val="Normal"/>
    <w:rsid w:val="009C4E62"/>
    <w:pPr>
      <w:spacing w:line="227" w:lineRule="atLeast"/>
    </w:pPr>
    <w:rPr>
      <w:sz w:val="23"/>
      <w:szCs w:val="23"/>
      <w:lang w:eastAsia="en-GB"/>
    </w:rPr>
  </w:style>
  <w:style w:type="paragraph" w:customStyle="1" w:styleId="p6">
    <w:name w:val="p6"/>
    <w:basedOn w:val="Normal"/>
    <w:rsid w:val="009C4E62"/>
    <w:pPr>
      <w:spacing w:line="206" w:lineRule="atLeast"/>
    </w:pPr>
    <w:rPr>
      <w:rFonts w:ascii="Helvetica" w:hAnsi="Helvetica"/>
      <w:sz w:val="20"/>
      <w:szCs w:val="20"/>
      <w:lang w:eastAsia="en-GB"/>
    </w:rPr>
  </w:style>
  <w:style w:type="paragraph" w:customStyle="1" w:styleId="p7">
    <w:name w:val="p7"/>
    <w:basedOn w:val="Normal"/>
    <w:rsid w:val="009C4E62"/>
    <w:pPr>
      <w:spacing w:line="75" w:lineRule="atLeast"/>
    </w:pPr>
    <w:rPr>
      <w:rFonts w:ascii="Helvetica" w:hAnsi="Helvetica"/>
      <w:sz w:val="8"/>
      <w:szCs w:val="8"/>
      <w:lang w:eastAsia="en-GB"/>
    </w:rPr>
  </w:style>
  <w:style w:type="character" w:customStyle="1" w:styleId="s2">
    <w:name w:val="s2"/>
    <w:basedOn w:val="DefaultParagraphFont"/>
    <w:rsid w:val="009C4E62"/>
    <w:rPr>
      <w:rFonts w:ascii="Helvetica" w:hAnsi="Helvetica" w:hint="default"/>
    </w:rPr>
  </w:style>
  <w:style w:type="character" w:customStyle="1" w:styleId="s3">
    <w:name w:val="s3"/>
    <w:basedOn w:val="DefaultParagraphFont"/>
    <w:rsid w:val="009C4E62"/>
    <w:rPr>
      <w:rFonts w:ascii="Helvetica" w:hAnsi="Helvetica" w:hint="default"/>
    </w:rPr>
  </w:style>
  <w:style w:type="character" w:customStyle="1" w:styleId="s4">
    <w:name w:val="s4"/>
    <w:basedOn w:val="DefaultParagraphFont"/>
    <w:rsid w:val="009C4E62"/>
    <w:rPr>
      <w:rFonts w:ascii="Helvetica" w:hAnsi="Helvetica" w:hint="default"/>
    </w:rPr>
  </w:style>
  <w:style w:type="character" w:customStyle="1" w:styleId="s5">
    <w:name w:val="s5"/>
    <w:basedOn w:val="DefaultParagraphFont"/>
    <w:rsid w:val="009C4E62"/>
    <w:rPr>
      <w:rFonts w:ascii="Calibri" w:hAnsi="Calibri" w:cs="Calibri" w:hint="default"/>
    </w:rPr>
  </w:style>
  <w:style w:type="character" w:customStyle="1" w:styleId="s6">
    <w:name w:val="s6"/>
    <w:basedOn w:val="DefaultParagraphFont"/>
    <w:rsid w:val="009C4E62"/>
    <w:rPr>
      <w:rFonts w:ascii="Helvetica" w:hAnsi="Helvetica" w:hint="default"/>
    </w:rPr>
  </w:style>
  <w:style w:type="character" w:customStyle="1" w:styleId="apple-converted-space">
    <w:name w:val="apple-converted-space"/>
    <w:basedOn w:val="DefaultParagraphFont"/>
    <w:rsid w:val="009C4E62"/>
  </w:style>
  <w:style w:type="character" w:styleId="FollowedHyperlink">
    <w:name w:val="FollowedHyperlink"/>
    <w:basedOn w:val="DefaultParagraphFont"/>
    <w:uiPriority w:val="99"/>
    <w:semiHidden/>
    <w:unhideWhenUsed/>
    <w:rsid w:val="009C4E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951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Richardson</dc:creator>
  <cp:keywords/>
  <dc:description/>
  <cp:lastModifiedBy>Diane Richardson</cp:lastModifiedBy>
  <cp:revision>1</cp:revision>
  <dcterms:created xsi:type="dcterms:W3CDTF">2021-02-02T14:08:00Z</dcterms:created>
  <dcterms:modified xsi:type="dcterms:W3CDTF">2021-02-02T14:11:00Z</dcterms:modified>
</cp:coreProperties>
</file>