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6DAB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The Changing Face of Pride Events: Movements, Activism, Histories</w:t>
      </w:r>
    </w:p>
    <w:p w14:paraId="165E1F7A" w14:textId="77777777" w:rsidR="00C3431E" w:rsidRDefault="00C3431E" w:rsidP="00C3431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0"/>
          <w:szCs w:val="20"/>
          <w:bdr w:val="none" w:sz="0" w:space="0" w:color="auto" w:frame="1"/>
        </w:rPr>
        <w:t>Panel proposal for </w:t>
      </w:r>
      <w:hyperlink r:id="rId4" w:history="1">
        <w:r>
          <w:rPr>
            <w:rStyle w:val="Hyperlink"/>
            <w:rFonts w:ascii="inherit" w:hAnsi="inherit" w:cs="Calibri"/>
            <w:color w:val="1155CC"/>
            <w:sz w:val="20"/>
            <w:szCs w:val="20"/>
            <w:bdr w:val="none" w:sz="0" w:space="0" w:color="auto" w:frame="1"/>
          </w:rPr>
          <w:t>European Conference on Politics and Gender</w:t>
        </w:r>
      </w:hyperlink>
      <w:r>
        <w:rPr>
          <w:rFonts w:ascii="inherit" w:hAnsi="inherit" w:cs="Calibri"/>
          <w:color w:val="000000"/>
          <w:sz w:val="20"/>
          <w:szCs w:val="20"/>
          <w:bdr w:val="none" w:sz="0" w:space="0" w:color="auto" w:frame="1"/>
        </w:rPr>
        <w:t>, 8 – 10 July 2024, Ghent University</w:t>
      </w:r>
    </w:p>
    <w:p w14:paraId="33EA4371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Pride Events have become the most paradigmatic type of events held annually by different LGBTQIA+ communities across the world. These events play different roles, from awareness-raising to community-building, from representation of different experiences, to advancing social and political claims, often connected to human rights issues (Ammaturo, 2016, 2023; Armstrong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Crage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2006; Browne, 2007; Duggan, 2010; Renkin, 2015; Stella, 2013; Woodcock, 2004). Furthermore, Pride Events have multiplied across both urban and rural locations (Ammaturo, 2016), diversifying the repertoire, priorities, and tactics to engage both the local LGBTQIA+ communities, as well as bystanders and the wider civil society.</w:t>
      </w:r>
    </w:p>
    <w:p w14:paraId="3D2A21C3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Yet, there are also controversies surrounding the organisation of Pride Events, in particular in relation to their commercialisation and commodification (Conway, 2022; Domínguez Ruiz, 2019), the de-politicisation of these events in favour of more ‘party-like’ events (Browne, 2007; Markwell and Waitt, 2009), their co-optation within other political projects (Ammaturo, 2016;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Mikuš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2011;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Slootmaeckers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2017),  as well as rifts regarding the representation of marginalised groups within these events such as QTIPOC, trans people, disabled people, migrants, etc (Barrientos et al., 2010; Greensmith and Giwa, 2013; Radoman, 2016; Scott, 2017).</w:t>
      </w:r>
    </w:p>
    <w:p w14:paraId="145E1C45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This panel invites contributions that interrogate challenges and opportunities in the organisation of Pride Events at the global scale, with an intention to de-centre Eurocentric and US-centric narratives on Pride Events. For this reason, contributors are invited to submit paper proposals focusing (but not limited to) the following themes regarding Pride Events:</w:t>
      </w:r>
    </w:p>
    <w:p w14:paraId="796F4227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C49D01F" w14:textId="77777777" w:rsidR="00C3431E" w:rsidRDefault="00C3431E" w:rsidP="00C3431E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inherit" w:hAnsi="inherit" w:cs="Calibri"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Pride and Human Rights</w:t>
      </w:r>
    </w:p>
    <w:p w14:paraId="76C21C23" w14:textId="77777777" w:rsidR="00C3431E" w:rsidRDefault="00C3431E" w:rsidP="00C3431E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inherit" w:hAnsi="inherit" w:cs="Calibri"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Grassroot politics and de-politicisation</w:t>
      </w:r>
    </w:p>
    <w:p w14:paraId="0FBE539E" w14:textId="77777777" w:rsidR="00C3431E" w:rsidRDefault="00C3431E" w:rsidP="00C3431E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inherit" w:hAnsi="inherit" w:cs="Calibri"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Commodification, Commercialisation, and Corporate Sponsorship</w:t>
      </w:r>
    </w:p>
    <w:p w14:paraId="139A9344" w14:textId="77777777" w:rsidR="00C3431E" w:rsidRDefault="00C3431E" w:rsidP="00C3431E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inherit" w:hAnsi="inherit" w:cs="Calibri"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Pluralising and decolonising the Histories of Pride Events</w:t>
      </w:r>
    </w:p>
    <w:p w14:paraId="2C105A64" w14:textId="77777777" w:rsidR="00C3431E" w:rsidRDefault="00C3431E" w:rsidP="00C3431E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inherit" w:hAnsi="inherit" w:cs="Calibri"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Accessibility and Disability</w:t>
      </w:r>
    </w:p>
    <w:p w14:paraId="0A687B22" w14:textId="77777777" w:rsidR="00C3431E" w:rsidRDefault="00C3431E" w:rsidP="00C3431E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inherit" w:hAnsi="inherit" w:cs="Calibri"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Trans Rights and Transphobia</w:t>
      </w:r>
    </w:p>
    <w:p w14:paraId="654881CB" w14:textId="77777777" w:rsidR="00C3431E" w:rsidRDefault="00C3431E" w:rsidP="00C3431E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inherit" w:hAnsi="inherit" w:cs="Calibri"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Racism, discrimination</w:t>
      </w:r>
    </w:p>
    <w:p w14:paraId="29A83CA9" w14:textId="77777777" w:rsidR="00C3431E" w:rsidRDefault="00C3431E" w:rsidP="00C3431E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inherit" w:hAnsi="inherit" w:cs="Calibri"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Alternative(s) (to) Pride Events</w:t>
      </w:r>
    </w:p>
    <w:p w14:paraId="362BF929" w14:textId="77777777" w:rsidR="00C3431E" w:rsidRDefault="00C3431E" w:rsidP="00C3431E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inherit" w:hAnsi="inherit" w:cs="Calibri"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 xml:space="preserve">Pinkwashing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Homonationalism</w:t>
      </w:r>
      <w:proofErr w:type="spellEnd"/>
    </w:p>
    <w:p w14:paraId="50026499" w14:textId="77777777" w:rsidR="00C3431E" w:rsidRDefault="00C3431E" w:rsidP="00C3431E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inherit" w:hAnsi="inherit" w:cs="Calibri"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Migration and Border Violence</w:t>
      </w:r>
    </w:p>
    <w:p w14:paraId="06DA1F19" w14:textId="77777777" w:rsidR="00C3431E" w:rsidRDefault="00C3431E" w:rsidP="00C3431E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inherit" w:hAnsi="inherit" w:cs="Calibri"/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Environmental activism and Sustainability</w:t>
      </w:r>
    </w:p>
    <w:p w14:paraId="78E7A991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We are particularly interested in paper proposals that centre Global Majority countries.</w:t>
      </w:r>
    </w:p>
    <w:p w14:paraId="6A611550" w14:textId="77777777" w:rsidR="00C3431E" w:rsidRDefault="00C3431E" w:rsidP="00C3431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Abstracts should be sent by 30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> November (to double check) to Dr Francesca Romana Ammaturo (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f.ammaturo@londonmet.ac.uk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) and Dr Koen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Slootmaeckers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koen.slootmaeckers@city.ac.uk</w:t>
        </w:r>
      </w:hyperlink>
      <w:r>
        <w:rPr>
          <w:rFonts w:ascii="Calibri" w:hAnsi="Calibri" w:cs="Calibri"/>
          <w:color w:val="000000"/>
          <w:sz w:val="22"/>
          <w:szCs w:val="22"/>
        </w:rPr>
        <w:t>).</w:t>
      </w:r>
    </w:p>
    <w:p w14:paraId="297B7ECC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Abstracts should consist of:</w:t>
      </w:r>
    </w:p>
    <w:p w14:paraId="01BC1EB2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Paper title (no more than 20 words)</w:t>
      </w:r>
    </w:p>
    <w:p w14:paraId="28F24A30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Author full names,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affiliations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and email</w:t>
      </w:r>
    </w:p>
    <w:p w14:paraId="7214DDC4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abstract (no more than 340 words)</w:t>
      </w:r>
    </w:p>
    <w:p w14:paraId="258CA03D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3–8 keywords</w:t>
      </w:r>
    </w:p>
    <w:p w14:paraId="633C3830" w14:textId="54B976DC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References:</w:t>
      </w:r>
    </w:p>
    <w:p w14:paraId="18447350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Ammaturo, F.R., 2016. Spaces of Pride: A Visual Ethnography of Gay Pride Parades in Italy and the United Kingdom. Social Movement Studies, 15(1), pp.19–40.</w:t>
      </w:r>
    </w:p>
    <w:p w14:paraId="150890CB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Ammaturo, F.R., 2023. Pride Events in the periphery between hyper-localisation and hyper-contextualisation: a comparison between Italy and the UK. Journal of Policy Research in Tourism,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Leisure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and Events, 15(2), pp.224–239.</w:t>
      </w:r>
    </w:p>
    <w:p w14:paraId="04A76F3A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Armstrong, E.A.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Crage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S.M., 2006. Movements and Memory: The Making of the Stonewall Myth. American Sociological Review, 71(5), pp.724–751.</w:t>
      </w:r>
    </w:p>
    <w:p w14:paraId="2662AF61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Barrientos, J., Silva, J., Catalan, S., Gomez, F. and Longueira, J., 2010. Discrimination and Victimization: Parade for Lesbian, Gay, Bisexual, and Transgender (LGBT) Pride, in Chile. Journal of Homosexuality, 57(6), pp.760–775.</w:t>
      </w:r>
    </w:p>
    <w:p w14:paraId="32EEF5A1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Browne, K., 2007. A party with politics? (Re)making LGBTQ Pride spaces in Dublin and Brighton. Social &amp; Cultural Geography, 8(1), pp.63–87.</w:t>
      </w:r>
    </w:p>
    <w:p w14:paraId="1451EFB7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Conway, D., 2022. The politics of truth at LGBTQ+ Pride: contesting corporate Pride and revealing marginalized lives at Hong Kong Migrants Pride. International Feminist Journal of Politics, pp.1–23.</w:t>
      </w:r>
    </w:p>
    <w:p w14:paraId="26660B3C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Domínguez Ruiz, I.E., 2019. Neither resistance nor commodification: Madrid’s LGBT Pride as paradoxical mobilization. Journal of Spanish Cultural Studies, 20(4), pp.519–534.</w:t>
      </w:r>
    </w:p>
    <w:p w14:paraId="33C9C8C6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Duggan, M., 2010. Politics of Pride: Representing Relegated Sexual Identities in Northern Ireland. Northern Ireland Legal Quarterly, 61(2), pp.163–178.</w:t>
      </w:r>
    </w:p>
    <w:p w14:paraId="5F2834CF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Greensmith, C. and Giwa, S., 2013. Challenging Settler Colonialism in Contemporary Queer Politics: Settler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Homonationalism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Pride Toronto, and Two-Spirit Subjectivities. American Indian Culture and Research Journal, 37(2), pp.129–148.</w:t>
      </w:r>
    </w:p>
    <w:p w14:paraId="247EE415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Markwell, K. and Waitt, G., 2009. Festivals, Space and Sexuality: Gay Pride in Australia. Tourism Geographies, 11(2), pp.143–168.</w:t>
      </w:r>
    </w:p>
    <w:p w14:paraId="3300CF46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Mikuš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M., 2011. ‘State Pride’: Politics of LGBT Rights and Democratisation in “European Serbia”. East European Politics &amp; Societies, 25(4), pp.834–851.</w:t>
      </w:r>
    </w:p>
    <w:p w14:paraId="411C7B82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Radoman, M., 2016. Towards a More Inclusive Pride? Representing Multiple Discriminations in the Belgrade Pride Parade. In: Bilić, B. and S.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Kajinić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eds. Intersectionality and LGBT Activist Politics: Multiple Others in Croatia and Serbia. London: Palgrave Macmillan. pp.171–190.</w:t>
      </w:r>
    </w:p>
    <w:p w14:paraId="7CBB0436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Renkin, H.Z., 2015. Perverse Frictions: Pride, Dignity, and the Budapest LGBT March. Ethnos: Journal of Anthropology, 80(3), pp.409–432.</w:t>
      </w:r>
    </w:p>
    <w:p w14:paraId="2D9D9197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Scott, L., 2017. Disrupting Johannesburg Pride: Gender, race, and class in the LGBTI movement in South Africa. Agenda, 31(1), pp.42–49.</w:t>
      </w:r>
    </w:p>
    <w:p w14:paraId="10E71F02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Slootmaeckers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K., 2017. The litmus test of pride: analysing the emergence of the Belgrade “Ghost” pride in the context of EU accession. East European Politics, 33(4), pp.517–535.</w:t>
      </w:r>
    </w:p>
    <w:p w14:paraId="0D9D3857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Stella, F., 2013. Queer Space, Pride, and Shame in Moscow. Slavic Review, 72(3), pp.458–480.</w:t>
      </w:r>
    </w:p>
    <w:p w14:paraId="63872650" w14:textId="77777777" w:rsidR="00C3431E" w:rsidRDefault="00C3431E" w:rsidP="00C3431E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Woodcock, S., 2004. Globalization of LGBT Identities: containment masquerading as salvation or why lesbians have less fun. In: Frunza,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M.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and T.-E.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Vacarescu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eds. Gender and the (Post) East-West Divide. Cluj-Napoca: Limes Publishing House. pp.171–188.</w:t>
      </w:r>
    </w:p>
    <w:p w14:paraId="7D30DDB0" w14:textId="77777777" w:rsidR="00C3431E" w:rsidRPr="00C3431E" w:rsidRDefault="00C3431E" w:rsidP="00C3431E"/>
    <w:sectPr w:rsidR="00C3431E" w:rsidRPr="00C3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1E"/>
    <w:rsid w:val="00C3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AF9E"/>
  <w15:chartTrackingRefBased/>
  <w15:docId w15:val="{A7A18640-B75A-4041-9457-EDC6DD6C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34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en.slootmaeckers@city.ac.uk" TargetMode="External"/><Relationship Id="rId5" Type="http://schemas.openxmlformats.org/officeDocument/2006/relationships/hyperlink" Target="mailto:f.ammaturo@londonmet.ac.uk" TargetMode="External"/><Relationship Id="rId4" Type="http://schemas.openxmlformats.org/officeDocument/2006/relationships/hyperlink" Target="https://ecpr.eu/Events/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Ammaturo</dc:creator>
  <cp:keywords/>
  <dc:description/>
  <cp:lastModifiedBy>Francesca Ammaturo</cp:lastModifiedBy>
  <cp:revision>1</cp:revision>
  <dcterms:created xsi:type="dcterms:W3CDTF">2023-11-06T13:45:00Z</dcterms:created>
  <dcterms:modified xsi:type="dcterms:W3CDTF">2023-11-06T13:45:00Z</dcterms:modified>
</cp:coreProperties>
</file>