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BB543" w14:textId="77777777" w:rsidR="001F22AF" w:rsidRDefault="007C550C" w:rsidP="008979A9">
      <w:pPr>
        <w:spacing w:line="700" w:lineRule="exact"/>
        <w:rPr>
          <w:rFonts w:ascii="Times" w:hAnsi="Times"/>
          <w:color w:val="D32F51"/>
          <w:sz w:val="68"/>
          <w:szCs w:val="68"/>
        </w:rPr>
      </w:pPr>
      <w:bookmarkStart w:id="0" w:name="_GoBack"/>
      <w:r>
        <w:rPr>
          <w:rFonts w:ascii="Arial" w:hAnsi="Arial" w:cs="Arial"/>
          <w:noProof/>
          <w:sz w:val="20"/>
          <w:szCs w:val="20"/>
          <w:lang w:val="en-GB" w:eastAsia="en-GB"/>
        </w:rPr>
        <w:drawing>
          <wp:anchor distT="0" distB="0" distL="114300" distR="114300" simplePos="0" relativeHeight="251678720" behindDoc="1" locked="0" layoutInCell="1" allowOverlap="1" wp14:anchorId="3DC40470" wp14:editId="23EB2331">
            <wp:simplePos x="0" y="0"/>
            <wp:positionH relativeFrom="page">
              <wp:posOffset>0</wp:posOffset>
            </wp:positionH>
            <wp:positionV relativeFrom="page">
              <wp:posOffset>0</wp:posOffset>
            </wp:positionV>
            <wp:extent cx="1871472" cy="10692384"/>
            <wp:effectExtent l="0" t="0" r="825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1871472" cy="10692384"/>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07348" w:rsidRPr="00607348">
        <w:rPr>
          <w:rFonts w:ascii="Times" w:hAnsi="Times"/>
          <w:color w:val="D32F51"/>
          <w:sz w:val="68"/>
          <w:szCs w:val="68"/>
        </w:rPr>
        <w:t>Pedagogies of hope: education as a practice of freedom</w:t>
      </w:r>
    </w:p>
    <w:p w14:paraId="570579F2" w14:textId="77777777" w:rsidR="00607348" w:rsidRPr="00607348" w:rsidRDefault="00607348" w:rsidP="00867107">
      <w:pPr>
        <w:spacing w:line="600" w:lineRule="exact"/>
        <w:rPr>
          <w:rFonts w:ascii="Times" w:hAnsi="Times"/>
          <w:color w:val="D32F51"/>
          <w:sz w:val="44"/>
          <w:szCs w:val="68"/>
        </w:rPr>
      </w:pPr>
      <w:r>
        <w:rPr>
          <w:rFonts w:ascii="Times" w:hAnsi="Times"/>
          <w:color w:val="D32F51"/>
          <w:sz w:val="44"/>
          <w:szCs w:val="68"/>
        </w:rPr>
        <w:t>BSA Education Study Group</w:t>
      </w:r>
    </w:p>
    <w:p w14:paraId="08241202" w14:textId="77777777" w:rsidR="001F22AF" w:rsidRDefault="00607348" w:rsidP="00867107">
      <w:pPr>
        <w:rPr>
          <w:rFonts w:ascii="Times" w:hAnsi="Times"/>
          <w:color w:val="5E6162"/>
          <w:sz w:val="40"/>
          <w:szCs w:val="40"/>
        </w:rPr>
      </w:pPr>
      <w:r>
        <w:rPr>
          <w:rFonts w:ascii="Times" w:hAnsi="Times"/>
          <w:color w:val="5E6162"/>
          <w:sz w:val="40"/>
          <w:szCs w:val="40"/>
        </w:rPr>
        <w:t>September – December 2024</w:t>
      </w:r>
    </w:p>
    <w:p w14:paraId="6AD38913" w14:textId="77777777" w:rsidR="00607348" w:rsidRPr="00607348" w:rsidRDefault="00607348" w:rsidP="00867107">
      <w:pPr>
        <w:rPr>
          <w:rFonts w:ascii="Times" w:hAnsi="Times"/>
          <w:color w:val="5E6162"/>
          <w:sz w:val="32"/>
          <w:szCs w:val="40"/>
        </w:rPr>
      </w:pPr>
      <w:r w:rsidRPr="00607348">
        <w:rPr>
          <w:rFonts w:ascii="Times" w:hAnsi="Times"/>
          <w:color w:val="5E6162"/>
          <w:sz w:val="32"/>
          <w:szCs w:val="40"/>
        </w:rPr>
        <w:t>Online</w:t>
      </w:r>
    </w:p>
    <w:p w14:paraId="503EA080" w14:textId="77777777" w:rsidR="009217B6" w:rsidRDefault="009217B6" w:rsidP="00867107">
      <w:pPr>
        <w:rPr>
          <w:rFonts w:ascii="Times" w:hAnsi="Times"/>
          <w:color w:val="5E6162"/>
          <w:sz w:val="32"/>
          <w:szCs w:val="32"/>
        </w:rPr>
      </w:pPr>
    </w:p>
    <w:p w14:paraId="0DA03F6C" w14:textId="77777777" w:rsidR="001F22AF" w:rsidRPr="009217B6" w:rsidRDefault="008979A9" w:rsidP="00867107">
      <w:pPr>
        <w:rPr>
          <w:rFonts w:ascii="Times" w:hAnsi="Times"/>
          <w:color w:val="5E6162"/>
          <w:sz w:val="32"/>
          <w:szCs w:val="32"/>
        </w:rPr>
      </w:pPr>
      <w:r>
        <w:rPr>
          <w:rFonts w:ascii="Times" w:hAnsi="Times"/>
          <w:color w:val="6B387B"/>
          <w:sz w:val="32"/>
          <w:szCs w:val="32"/>
        </w:rPr>
        <w:t>Call for Proposals</w:t>
      </w:r>
    </w:p>
    <w:bookmarkEnd w:id="0"/>
    <w:p w14:paraId="57ADBB72" w14:textId="77777777" w:rsidR="00607348" w:rsidRDefault="00607348" w:rsidP="00867107">
      <w:pPr>
        <w:rPr>
          <w:rFonts w:ascii="Arial" w:hAnsi="Arial" w:cs="Arial"/>
          <w:sz w:val="22"/>
          <w:szCs w:val="28"/>
        </w:rPr>
      </w:pPr>
    </w:p>
    <w:p w14:paraId="3EFCDA82" w14:textId="77777777" w:rsidR="00E02221" w:rsidRPr="00607348" w:rsidRDefault="00607348" w:rsidP="00867107">
      <w:pPr>
        <w:rPr>
          <w:rFonts w:ascii="Arial" w:hAnsi="Arial" w:cs="Arial"/>
          <w:sz w:val="16"/>
          <w:szCs w:val="20"/>
        </w:rPr>
      </w:pPr>
      <w:r w:rsidRPr="00607348">
        <w:rPr>
          <w:rFonts w:ascii="Arial" w:hAnsi="Arial" w:cs="Arial"/>
          <w:sz w:val="22"/>
          <w:szCs w:val="28"/>
        </w:rPr>
        <w:t xml:space="preserve">We would like to invite proposals to offer a session in our forthcoming seminar series </w:t>
      </w:r>
      <w:r w:rsidRPr="00607348">
        <w:rPr>
          <w:rFonts w:ascii="Arial" w:hAnsi="Arial" w:cs="Arial"/>
          <w:i/>
          <w:sz w:val="22"/>
          <w:szCs w:val="28"/>
        </w:rPr>
        <w:t>Pedagogies of hope: education as a practice of freedom</w:t>
      </w:r>
      <w:r w:rsidRPr="00607348">
        <w:rPr>
          <w:rFonts w:ascii="Arial" w:hAnsi="Arial" w:cs="Arial"/>
          <w:sz w:val="22"/>
          <w:szCs w:val="28"/>
        </w:rPr>
        <w:t>.</w:t>
      </w:r>
    </w:p>
    <w:p w14:paraId="05577BC1" w14:textId="77777777" w:rsidR="00607348" w:rsidRDefault="00607348" w:rsidP="00867107">
      <w:pPr>
        <w:rPr>
          <w:rFonts w:ascii="Arial" w:hAnsi="Arial" w:cs="Arial"/>
          <w:sz w:val="20"/>
          <w:szCs w:val="20"/>
        </w:rPr>
      </w:pPr>
    </w:p>
    <w:p w14:paraId="08335C61" w14:textId="77777777" w:rsidR="00607348" w:rsidRPr="00607348" w:rsidRDefault="00607348" w:rsidP="00607348">
      <w:pPr>
        <w:rPr>
          <w:rFonts w:ascii="Arial" w:hAnsi="Arial" w:cs="Arial"/>
          <w:sz w:val="20"/>
          <w:szCs w:val="20"/>
          <w:lang w:val="en-GB"/>
        </w:rPr>
      </w:pPr>
      <w:r w:rsidRPr="00607348">
        <w:rPr>
          <w:rFonts w:ascii="Arial" w:hAnsi="Arial" w:cs="Arial"/>
          <w:sz w:val="20"/>
          <w:szCs w:val="20"/>
          <w:lang w:val="en-GB"/>
        </w:rPr>
        <w:t xml:space="preserve">The scope is broad, but we are seeking contributions which offer us ways in which we may seek to challenge the discourses which </w:t>
      </w:r>
      <w:proofErr w:type="spellStart"/>
      <w:r w:rsidRPr="00607348">
        <w:rPr>
          <w:rFonts w:ascii="Arial" w:hAnsi="Arial" w:cs="Arial"/>
          <w:sz w:val="20"/>
          <w:szCs w:val="20"/>
          <w:lang w:val="en-GB"/>
        </w:rPr>
        <w:t>pathologise</w:t>
      </w:r>
      <w:proofErr w:type="spellEnd"/>
      <w:r w:rsidRPr="00607348">
        <w:rPr>
          <w:rFonts w:ascii="Arial" w:hAnsi="Arial" w:cs="Arial"/>
          <w:sz w:val="20"/>
          <w:szCs w:val="20"/>
          <w:lang w:val="en-GB"/>
        </w:rPr>
        <w:t xml:space="preserve"> or place learners in a position of deficit, which highlight the opportunities that we have to recognise structural inequalities and how we may work in these spaces to help keep education as a practice of freedom. We position education as any form of learning and do not see it solely as relative to formal learning environments. </w:t>
      </w:r>
    </w:p>
    <w:p w14:paraId="356BB0BB" w14:textId="77777777" w:rsidR="00607348" w:rsidRPr="00607348" w:rsidRDefault="00607348" w:rsidP="00607348">
      <w:pPr>
        <w:rPr>
          <w:rFonts w:ascii="Arial" w:hAnsi="Arial" w:cs="Arial"/>
          <w:sz w:val="20"/>
          <w:szCs w:val="20"/>
          <w:lang w:val="en-GB"/>
        </w:rPr>
      </w:pPr>
      <w:r w:rsidRPr="00607348">
        <w:rPr>
          <w:rFonts w:ascii="Arial" w:hAnsi="Arial" w:cs="Arial"/>
          <w:sz w:val="20"/>
          <w:szCs w:val="20"/>
          <w:lang w:val="en-GB"/>
        </w:rPr>
        <w:t> </w:t>
      </w:r>
    </w:p>
    <w:p w14:paraId="7F67D850" w14:textId="77777777" w:rsidR="00607348" w:rsidRPr="00607348" w:rsidRDefault="00607348" w:rsidP="00607348">
      <w:pPr>
        <w:rPr>
          <w:rFonts w:ascii="Arial" w:hAnsi="Arial" w:cs="Arial"/>
          <w:sz w:val="20"/>
          <w:szCs w:val="20"/>
          <w:lang w:val="en-GB"/>
        </w:rPr>
      </w:pPr>
      <w:r w:rsidRPr="00607348">
        <w:rPr>
          <w:rFonts w:ascii="Arial" w:hAnsi="Arial" w:cs="Arial"/>
          <w:sz w:val="20"/>
          <w:szCs w:val="20"/>
          <w:lang w:val="en-GB"/>
        </w:rPr>
        <w:t>The sessions will be on zoom and scheduled fortnightly on a Wednesday between 1pm-2pm from late September to December 2024. The format is over to you, whether that be a research paper, practice discussion, policy evaluation, panel discussion, something creative and interactive or all of the above.</w:t>
      </w:r>
    </w:p>
    <w:p w14:paraId="4DE261DC" w14:textId="77777777" w:rsidR="00607348" w:rsidRPr="00607348" w:rsidRDefault="00607348" w:rsidP="00607348">
      <w:pPr>
        <w:rPr>
          <w:rFonts w:ascii="Arial" w:hAnsi="Arial" w:cs="Arial"/>
          <w:sz w:val="20"/>
          <w:szCs w:val="20"/>
          <w:lang w:val="en-GB"/>
        </w:rPr>
      </w:pPr>
      <w:r w:rsidRPr="00607348">
        <w:rPr>
          <w:rFonts w:ascii="Arial" w:hAnsi="Arial" w:cs="Arial"/>
          <w:sz w:val="20"/>
          <w:szCs w:val="20"/>
          <w:lang w:val="en-GB"/>
        </w:rPr>
        <w:t> </w:t>
      </w:r>
    </w:p>
    <w:p w14:paraId="00D104E0" w14:textId="77777777" w:rsidR="008979A9" w:rsidRPr="009217B6" w:rsidRDefault="008979A9" w:rsidP="008979A9">
      <w:pPr>
        <w:rPr>
          <w:rFonts w:ascii="Times" w:hAnsi="Times"/>
          <w:color w:val="5E6162"/>
          <w:sz w:val="32"/>
          <w:szCs w:val="32"/>
        </w:rPr>
      </w:pPr>
      <w:r>
        <w:rPr>
          <w:rFonts w:ascii="Times" w:hAnsi="Times"/>
          <w:color w:val="6B387B"/>
          <w:sz w:val="32"/>
          <w:szCs w:val="32"/>
        </w:rPr>
        <w:t>How to submit your Proposal</w:t>
      </w:r>
    </w:p>
    <w:p w14:paraId="6DB4B195" w14:textId="77777777" w:rsidR="008979A9" w:rsidRDefault="008979A9" w:rsidP="00607348">
      <w:pPr>
        <w:rPr>
          <w:rFonts w:ascii="Arial" w:hAnsi="Arial" w:cs="Arial"/>
          <w:sz w:val="20"/>
          <w:szCs w:val="20"/>
          <w:lang w:val="en-GB"/>
        </w:rPr>
      </w:pPr>
    </w:p>
    <w:p w14:paraId="480D816A" w14:textId="40059E0B" w:rsidR="00607348" w:rsidRDefault="00607348" w:rsidP="00607348">
      <w:pPr>
        <w:rPr>
          <w:rFonts w:ascii="Arial" w:hAnsi="Arial" w:cs="Arial"/>
          <w:sz w:val="20"/>
          <w:szCs w:val="20"/>
        </w:rPr>
      </w:pPr>
      <w:r w:rsidRPr="00607348">
        <w:rPr>
          <w:rFonts w:ascii="Arial" w:hAnsi="Arial" w:cs="Arial"/>
          <w:sz w:val="20"/>
          <w:szCs w:val="20"/>
          <w:lang w:val="en-GB"/>
        </w:rPr>
        <w:t xml:space="preserve">If you are interested in offering a session, please complete the table below and return it to the Education Study Group Convenors by the </w:t>
      </w:r>
      <w:r w:rsidRPr="00607348">
        <w:rPr>
          <w:rFonts w:ascii="Arial" w:hAnsi="Arial" w:cs="Arial"/>
          <w:b/>
          <w:bCs/>
          <w:sz w:val="20"/>
          <w:szCs w:val="20"/>
          <w:lang w:val="en-GB"/>
        </w:rPr>
        <w:t>5</w:t>
      </w:r>
      <w:r w:rsidRPr="00607348">
        <w:rPr>
          <w:rFonts w:ascii="Arial" w:hAnsi="Arial" w:cs="Arial"/>
          <w:b/>
          <w:bCs/>
          <w:sz w:val="20"/>
          <w:szCs w:val="20"/>
          <w:vertAlign w:val="superscript"/>
          <w:lang w:val="en-GB"/>
        </w:rPr>
        <w:t>th</w:t>
      </w:r>
      <w:r w:rsidRPr="00607348">
        <w:rPr>
          <w:rFonts w:ascii="Arial" w:hAnsi="Arial" w:cs="Arial"/>
          <w:b/>
          <w:bCs/>
          <w:sz w:val="20"/>
          <w:szCs w:val="20"/>
          <w:lang w:val="en-GB"/>
        </w:rPr>
        <w:t xml:space="preserve"> of July (</w:t>
      </w:r>
      <w:hyperlink r:id="rId9" w:history="1">
        <w:r w:rsidRPr="00607348">
          <w:rPr>
            <w:rStyle w:val="Hyperlink"/>
            <w:rFonts w:ascii="Arial" w:hAnsi="Arial" w:cs="Arial"/>
            <w:b/>
            <w:bCs/>
            <w:color w:val="8064A2" w:themeColor="accent4"/>
            <w:sz w:val="20"/>
            <w:szCs w:val="20"/>
            <w:lang w:val="en-GB"/>
          </w:rPr>
          <w:t>t.bowers-brown@leedstrinity.ac.uk</w:t>
        </w:r>
      </w:hyperlink>
      <w:r w:rsidRPr="00607348">
        <w:rPr>
          <w:rFonts w:ascii="Arial" w:hAnsi="Arial" w:cs="Arial"/>
          <w:b/>
          <w:bCs/>
          <w:sz w:val="20"/>
          <w:szCs w:val="20"/>
          <w:lang w:val="en-GB"/>
        </w:rPr>
        <w:t>)</w:t>
      </w:r>
      <w:r w:rsidRPr="00607348">
        <w:rPr>
          <w:rFonts w:ascii="Arial" w:hAnsi="Arial" w:cs="Arial"/>
          <w:sz w:val="20"/>
          <w:szCs w:val="20"/>
          <w:lang w:val="en-GB"/>
        </w:rPr>
        <w:t xml:space="preserve">. We will select presenters by the </w:t>
      </w:r>
      <w:r w:rsidRPr="00607348">
        <w:rPr>
          <w:rFonts w:ascii="Arial" w:hAnsi="Arial" w:cs="Arial"/>
          <w:b/>
          <w:bCs/>
          <w:sz w:val="20"/>
          <w:szCs w:val="20"/>
          <w:lang w:val="en-GB"/>
        </w:rPr>
        <w:t>5</w:t>
      </w:r>
      <w:r w:rsidRPr="00607348">
        <w:rPr>
          <w:rFonts w:ascii="Arial" w:hAnsi="Arial" w:cs="Arial"/>
          <w:b/>
          <w:bCs/>
          <w:sz w:val="20"/>
          <w:szCs w:val="20"/>
          <w:vertAlign w:val="superscript"/>
          <w:lang w:val="en-GB"/>
        </w:rPr>
        <w:t>th</w:t>
      </w:r>
      <w:r w:rsidRPr="00607348">
        <w:rPr>
          <w:rFonts w:ascii="Arial" w:hAnsi="Arial" w:cs="Arial"/>
          <w:b/>
          <w:bCs/>
          <w:sz w:val="20"/>
          <w:szCs w:val="20"/>
          <w:lang w:val="en-GB"/>
        </w:rPr>
        <w:t xml:space="preserve"> of August.</w:t>
      </w:r>
      <w:r w:rsidR="00E33F45">
        <w:rPr>
          <w:rFonts w:ascii="Arial" w:hAnsi="Arial" w:cs="Arial"/>
          <w:sz w:val="20"/>
          <w:szCs w:val="20"/>
          <w:lang w:val="en-GB"/>
        </w:rPr>
        <w:t xml:space="preserve"> </w:t>
      </w:r>
      <w:r w:rsidRPr="00607348">
        <w:rPr>
          <w:rFonts w:ascii="Arial" w:hAnsi="Arial" w:cs="Arial"/>
          <w:sz w:val="20"/>
          <w:szCs w:val="20"/>
          <w:lang w:val="en-GB"/>
        </w:rPr>
        <w:t>The final programme will be advertised through the BSA website, and will be open for you to share with contacts. We are seeking contributions from sociologists of education across all education sectors and we would certainly like to encourage open access to attend amongst sociological thinkers in all areas of learning.</w:t>
      </w:r>
    </w:p>
    <w:p w14:paraId="492A8E42" w14:textId="77777777" w:rsidR="00B81497" w:rsidRDefault="00B81497" w:rsidP="00867107">
      <w:pPr>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4003"/>
        <w:gridCol w:w="3766"/>
      </w:tblGrid>
      <w:tr w:rsidR="00607348" w14:paraId="340C6455" w14:textId="77777777" w:rsidTr="00607348">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A05026" w14:textId="77777777" w:rsidR="00607348" w:rsidRDefault="00607348">
            <w:pPr>
              <w:pStyle w:val="xxxxmsonormal"/>
            </w:pPr>
            <w:r>
              <w:t>Presentation Title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2F70F0" w14:textId="77777777" w:rsidR="00607348" w:rsidRDefault="00607348">
            <w:pPr>
              <w:pStyle w:val="xxxxmsonormal"/>
            </w:pPr>
            <w:r>
              <w:t> </w:t>
            </w:r>
          </w:p>
        </w:tc>
      </w:tr>
      <w:tr w:rsidR="00607348" w14:paraId="7C0AB941" w14:textId="77777777" w:rsidTr="00607348">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1D83F" w14:textId="77777777" w:rsidR="00607348" w:rsidRDefault="00607348">
            <w:pPr>
              <w:pStyle w:val="xxxxmsonormal"/>
            </w:pPr>
            <w:r>
              <w:t>Keywords</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5C81D665" w14:textId="77777777" w:rsidR="00607348" w:rsidRDefault="00607348">
            <w:pPr>
              <w:pStyle w:val="xxxxmsonormal"/>
            </w:pPr>
          </w:p>
        </w:tc>
      </w:tr>
      <w:tr w:rsidR="00607348" w14:paraId="0A26ACAF" w14:textId="77777777" w:rsidTr="00607348">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1E747" w14:textId="77777777" w:rsidR="00607348" w:rsidRDefault="00607348">
            <w:pPr>
              <w:pStyle w:val="xxxxmsonormal"/>
            </w:pPr>
            <w:r>
              <w:t>Name of Presenter (s)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26C26197" w14:textId="77777777" w:rsidR="00607348" w:rsidRDefault="00607348">
            <w:pPr>
              <w:pStyle w:val="xxxxmsonormal"/>
            </w:pPr>
            <w:r>
              <w:t> </w:t>
            </w:r>
          </w:p>
        </w:tc>
      </w:tr>
      <w:tr w:rsidR="00607348" w14:paraId="2355D446" w14:textId="77777777" w:rsidTr="00607348">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B6C5A" w14:textId="77777777" w:rsidR="00607348" w:rsidRDefault="00607348">
            <w:pPr>
              <w:pStyle w:val="xxxxmsonormal"/>
            </w:pPr>
            <w:r>
              <w:t>Format of Session</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193863B5" w14:textId="77777777" w:rsidR="00607348" w:rsidRDefault="00607348">
            <w:pPr>
              <w:pStyle w:val="xxxxmsonormal"/>
            </w:pPr>
            <w:r>
              <w:t> </w:t>
            </w:r>
          </w:p>
        </w:tc>
      </w:tr>
      <w:tr w:rsidR="00607348" w14:paraId="396B41ED" w14:textId="77777777" w:rsidTr="00607348">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D39C7" w14:textId="77777777" w:rsidR="00607348" w:rsidRDefault="00607348">
            <w:pPr>
              <w:pStyle w:val="xxxxmsonormal"/>
            </w:pPr>
            <w:r>
              <w:t>Abstract (up to 300 words)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2C5E518C" w14:textId="77777777" w:rsidR="00607348" w:rsidRDefault="00607348">
            <w:pPr>
              <w:pStyle w:val="xxxxmsonormal"/>
            </w:pPr>
            <w:r>
              <w:t> </w:t>
            </w:r>
          </w:p>
        </w:tc>
      </w:tr>
      <w:tr w:rsidR="00607348" w14:paraId="55074CB4" w14:textId="77777777" w:rsidTr="00607348">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CE14F" w14:textId="77777777" w:rsidR="00607348" w:rsidRDefault="00607348">
            <w:pPr>
              <w:pStyle w:val="xxxxmsonormal"/>
            </w:pPr>
            <w:r>
              <w:t>Access Requirements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68EC8716" w14:textId="77777777" w:rsidR="00607348" w:rsidRDefault="00607348">
            <w:pPr>
              <w:pStyle w:val="xxxxmsonormal"/>
            </w:pPr>
            <w:r>
              <w:t> </w:t>
            </w:r>
          </w:p>
        </w:tc>
      </w:tr>
    </w:tbl>
    <w:p w14:paraId="14167CF2" w14:textId="77777777" w:rsidR="003A4F6B" w:rsidRPr="00607348" w:rsidRDefault="00607348" w:rsidP="009217B6">
      <w:pPr>
        <w:rPr>
          <w:rFonts w:ascii="Arial" w:hAnsi="Arial" w:cs="Arial"/>
          <w:sz w:val="20"/>
          <w:szCs w:val="20"/>
        </w:rPr>
      </w:pPr>
      <w:r>
        <w:rPr>
          <w:rFonts w:ascii="Arial" w:hAnsi="Arial" w:cs="Arial"/>
          <w:noProof/>
          <w:sz w:val="20"/>
          <w:szCs w:val="20"/>
          <w:lang w:val="en-GB" w:eastAsia="en-GB"/>
        </w:rPr>
        <w:t xml:space="preserve"> </w:t>
      </w:r>
      <w:r w:rsidR="007C550C">
        <w:rPr>
          <w:rFonts w:ascii="Arial" w:hAnsi="Arial" w:cs="Arial"/>
          <w:noProof/>
          <w:sz w:val="20"/>
          <w:szCs w:val="20"/>
          <w:lang w:val="en-GB" w:eastAsia="en-GB"/>
        </w:rPr>
        <w:drawing>
          <wp:anchor distT="0" distB="0" distL="114300" distR="114300" simplePos="0" relativeHeight="251677696" behindDoc="1" locked="0" layoutInCell="1" allowOverlap="1" wp14:anchorId="0EB1D4DD" wp14:editId="573FCF64">
            <wp:simplePos x="0" y="0"/>
            <wp:positionH relativeFrom="column">
              <wp:posOffset>0</wp:posOffset>
            </wp:positionH>
            <wp:positionV relativeFrom="page">
              <wp:align>bottom</wp:align>
            </wp:positionV>
            <wp:extent cx="5687060" cy="72199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jpg"/>
                    <pic:cNvPicPr/>
                  </pic:nvPicPr>
                  <pic:blipFill>
                    <a:blip r:embed="rId10">
                      <a:extLst>
                        <a:ext uri="{28A0092B-C50C-407E-A947-70E740481C1C}">
                          <a14:useLocalDpi xmlns:a14="http://schemas.microsoft.com/office/drawing/2010/main" val="0"/>
                        </a:ext>
                      </a:extLst>
                    </a:blip>
                    <a:stretch>
                      <a:fillRect/>
                    </a:stretch>
                  </pic:blipFill>
                  <pic:spPr>
                    <a:xfrm>
                      <a:off x="0" y="0"/>
                      <a:ext cx="5687060" cy="72199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3A4F6B" w:rsidRPr="00607348" w:rsidSect="009217B6">
      <w:headerReference w:type="default" r:id="rId11"/>
      <w:pgSz w:w="11900" w:h="16840"/>
      <w:pgMar w:top="2127" w:right="1134" w:bottom="1440" w:left="29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5184D" w14:textId="77777777" w:rsidR="006F687F" w:rsidRDefault="006F687F" w:rsidP="00B30246">
      <w:r>
        <w:separator/>
      </w:r>
    </w:p>
  </w:endnote>
  <w:endnote w:type="continuationSeparator" w:id="0">
    <w:p w14:paraId="05854558" w14:textId="77777777" w:rsidR="006F687F" w:rsidRDefault="006F687F" w:rsidP="00B3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F0C8E" w14:textId="77777777" w:rsidR="006F687F" w:rsidRDefault="006F687F" w:rsidP="00B30246">
      <w:r>
        <w:separator/>
      </w:r>
    </w:p>
  </w:footnote>
  <w:footnote w:type="continuationSeparator" w:id="0">
    <w:p w14:paraId="39B34DE3" w14:textId="77777777" w:rsidR="006F687F" w:rsidRDefault="006F687F" w:rsidP="00B3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23116" w14:textId="77777777" w:rsidR="00B81497" w:rsidRDefault="00B81497">
    <w:pPr>
      <w:pStyle w:val="Header"/>
    </w:pPr>
  </w:p>
  <w:p w14:paraId="5421DCA7" w14:textId="77777777" w:rsidR="009217B6" w:rsidRDefault="009217B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A0358"/>
    <w:multiLevelType w:val="hybridMultilevel"/>
    <w:tmpl w:val="FB08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796578A5"/>
    <w:multiLevelType w:val="hybridMultilevel"/>
    <w:tmpl w:val="3028D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48"/>
    <w:rsid w:val="00081406"/>
    <w:rsid w:val="000B6674"/>
    <w:rsid w:val="000D1005"/>
    <w:rsid w:val="000F5783"/>
    <w:rsid w:val="00131877"/>
    <w:rsid w:val="00150767"/>
    <w:rsid w:val="001A79D4"/>
    <w:rsid w:val="001E2B33"/>
    <w:rsid w:val="001F22AF"/>
    <w:rsid w:val="00203D60"/>
    <w:rsid w:val="00213939"/>
    <w:rsid w:val="00227442"/>
    <w:rsid w:val="002363F4"/>
    <w:rsid w:val="0029263D"/>
    <w:rsid w:val="00365E1D"/>
    <w:rsid w:val="00377825"/>
    <w:rsid w:val="003A4F6B"/>
    <w:rsid w:val="003E5175"/>
    <w:rsid w:val="00450B66"/>
    <w:rsid w:val="00450B90"/>
    <w:rsid w:val="00514BC4"/>
    <w:rsid w:val="00545EB2"/>
    <w:rsid w:val="00571AFA"/>
    <w:rsid w:val="005D211B"/>
    <w:rsid w:val="00607348"/>
    <w:rsid w:val="00611960"/>
    <w:rsid w:val="00625EC4"/>
    <w:rsid w:val="00671D4C"/>
    <w:rsid w:val="006F687F"/>
    <w:rsid w:val="00722439"/>
    <w:rsid w:val="00765FA1"/>
    <w:rsid w:val="007B1329"/>
    <w:rsid w:val="007C550C"/>
    <w:rsid w:val="00830DC6"/>
    <w:rsid w:val="00867107"/>
    <w:rsid w:val="00872BE3"/>
    <w:rsid w:val="008979A9"/>
    <w:rsid w:val="008A3457"/>
    <w:rsid w:val="008D70A3"/>
    <w:rsid w:val="008E6F93"/>
    <w:rsid w:val="009217B6"/>
    <w:rsid w:val="00941927"/>
    <w:rsid w:val="00991895"/>
    <w:rsid w:val="00996324"/>
    <w:rsid w:val="009D371A"/>
    <w:rsid w:val="009D5075"/>
    <w:rsid w:val="00AB5A6A"/>
    <w:rsid w:val="00AD1671"/>
    <w:rsid w:val="00B30246"/>
    <w:rsid w:val="00B30649"/>
    <w:rsid w:val="00B81497"/>
    <w:rsid w:val="00C20DBB"/>
    <w:rsid w:val="00C6694F"/>
    <w:rsid w:val="00CD2D8E"/>
    <w:rsid w:val="00CE2267"/>
    <w:rsid w:val="00D100BC"/>
    <w:rsid w:val="00D23193"/>
    <w:rsid w:val="00DB46A7"/>
    <w:rsid w:val="00DD0EAC"/>
    <w:rsid w:val="00DD27B7"/>
    <w:rsid w:val="00E02221"/>
    <w:rsid w:val="00E33F45"/>
    <w:rsid w:val="00E51A6C"/>
    <w:rsid w:val="00E6018E"/>
    <w:rsid w:val="00E70E18"/>
    <w:rsid w:val="00EA740D"/>
    <w:rsid w:val="00EC0D08"/>
    <w:rsid w:val="00EC6E10"/>
    <w:rsid w:val="00F0146C"/>
    <w:rsid w:val="00F62E3E"/>
    <w:rsid w:val="00FC3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08E2A3"/>
  <w14:defaultImageDpi w14:val="330"/>
  <w15:docId w15:val="{02E46FB8-8A47-4148-A2A3-228BAE06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246"/>
    <w:rPr>
      <w:rFonts w:ascii="Lucida Grande" w:hAnsi="Lucida Grande" w:cs="Lucida Grande"/>
      <w:sz w:val="18"/>
      <w:szCs w:val="18"/>
    </w:rPr>
  </w:style>
  <w:style w:type="paragraph" w:styleId="Header">
    <w:name w:val="header"/>
    <w:basedOn w:val="Normal"/>
    <w:link w:val="HeaderChar"/>
    <w:uiPriority w:val="99"/>
    <w:unhideWhenUsed/>
    <w:rsid w:val="00B30246"/>
    <w:pPr>
      <w:tabs>
        <w:tab w:val="center" w:pos="4320"/>
        <w:tab w:val="right" w:pos="8640"/>
      </w:tabs>
    </w:pPr>
  </w:style>
  <w:style w:type="character" w:customStyle="1" w:styleId="HeaderChar">
    <w:name w:val="Header Char"/>
    <w:basedOn w:val="DefaultParagraphFont"/>
    <w:link w:val="Header"/>
    <w:uiPriority w:val="99"/>
    <w:rsid w:val="00B30246"/>
  </w:style>
  <w:style w:type="paragraph" w:styleId="Footer">
    <w:name w:val="footer"/>
    <w:basedOn w:val="Normal"/>
    <w:link w:val="FooterChar"/>
    <w:uiPriority w:val="99"/>
    <w:unhideWhenUsed/>
    <w:rsid w:val="00B30246"/>
    <w:pPr>
      <w:tabs>
        <w:tab w:val="center" w:pos="4320"/>
        <w:tab w:val="right" w:pos="8640"/>
      </w:tabs>
    </w:pPr>
  </w:style>
  <w:style w:type="character" w:customStyle="1" w:styleId="FooterChar">
    <w:name w:val="Footer Char"/>
    <w:basedOn w:val="DefaultParagraphFont"/>
    <w:link w:val="Footer"/>
    <w:uiPriority w:val="99"/>
    <w:rsid w:val="00B30246"/>
  </w:style>
  <w:style w:type="paragraph" w:styleId="ListParagraph">
    <w:name w:val="List Paragraph"/>
    <w:basedOn w:val="Normal"/>
    <w:uiPriority w:val="34"/>
    <w:qFormat/>
    <w:rsid w:val="001F22AF"/>
    <w:pPr>
      <w:ind w:left="720"/>
      <w:contextualSpacing/>
    </w:pPr>
  </w:style>
  <w:style w:type="table" w:styleId="TableGrid">
    <w:name w:val="Table Grid"/>
    <w:basedOn w:val="TableNormal"/>
    <w:uiPriority w:val="59"/>
    <w:rsid w:val="00571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4F6B"/>
    <w:rPr>
      <w:color w:val="0000FF" w:themeColor="hyperlink"/>
      <w:u w:val="single"/>
    </w:rPr>
  </w:style>
  <w:style w:type="paragraph" w:customStyle="1" w:styleId="xxxxmsonormal">
    <w:name w:val="x_xxxmsonormal"/>
    <w:basedOn w:val="Normal"/>
    <w:rsid w:val="00607348"/>
    <w:rPr>
      <w:rFonts w:ascii="Calibri" w:eastAsiaTheme="minorHAnsi" w:hAnsi="Calibri" w:cs="Calibri"/>
      <w:sz w:val="22"/>
      <w:szCs w:val="22"/>
      <w:lang w:val="en-GB" w:eastAsia="en-GB"/>
    </w:rPr>
  </w:style>
  <w:style w:type="character" w:styleId="CommentReference">
    <w:name w:val="annotation reference"/>
    <w:basedOn w:val="DefaultParagraphFont"/>
    <w:uiPriority w:val="99"/>
    <w:semiHidden/>
    <w:unhideWhenUsed/>
    <w:rsid w:val="008979A9"/>
    <w:rPr>
      <w:sz w:val="16"/>
      <w:szCs w:val="16"/>
    </w:rPr>
  </w:style>
  <w:style w:type="paragraph" w:styleId="CommentText">
    <w:name w:val="annotation text"/>
    <w:basedOn w:val="Normal"/>
    <w:link w:val="CommentTextChar"/>
    <w:uiPriority w:val="99"/>
    <w:semiHidden/>
    <w:unhideWhenUsed/>
    <w:rsid w:val="008979A9"/>
    <w:rPr>
      <w:sz w:val="20"/>
      <w:szCs w:val="20"/>
    </w:rPr>
  </w:style>
  <w:style w:type="character" w:customStyle="1" w:styleId="CommentTextChar">
    <w:name w:val="Comment Text Char"/>
    <w:basedOn w:val="DefaultParagraphFont"/>
    <w:link w:val="CommentText"/>
    <w:uiPriority w:val="99"/>
    <w:semiHidden/>
    <w:rsid w:val="008979A9"/>
    <w:rPr>
      <w:sz w:val="20"/>
      <w:szCs w:val="20"/>
    </w:rPr>
  </w:style>
  <w:style w:type="paragraph" w:styleId="CommentSubject">
    <w:name w:val="annotation subject"/>
    <w:basedOn w:val="CommentText"/>
    <w:next w:val="CommentText"/>
    <w:link w:val="CommentSubjectChar"/>
    <w:uiPriority w:val="99"/>
    <w:semiHidden/>
    <w:unhideWhenUsed/>
    <w:rsid w:val="008979A9"/>
    <w:rPr>
      <w:b/>
      <w:bCs/>
    </w:rPr>
  </w:style>
  <w:style w:type="character" w:customStyle="1" w:styleId="CommentSubjectChar">
    <w:name w:val="Comment Subject Char"/>
    <w:basedOn w:val="CommentTextChar"/>
    <w:link w:val="CommentSubject"/>
    <w:uiPriority w:val="99"/>
    <w:semiHidden/>
    <w:rsid w:val="008979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235335">
      <w:bodyDiv w:val="1"/>
      <w:marLeft w:val="0"/>
      <w:marRight w:val="0"/>
      <w:marTop w:val="0"/>
      <w:marBottom w:val="0"/>
      <w:divBdr>
        <w:top w:val="none" w:sz="0" w:space="0" w:color="auto"/>
        <w:left w:val="none" w:sz="0" w:space="0" w:color="auto"/>
        <w:bottom w:val="none" w:sz="0" w:space="0" w:color="auto"/>
        <w:right w:val="none" w:sz="0" w:space="0" w:color="auto"/>
      </w:divBdr>
    </w:div>
    <w:div w:id="1482304337">
      <w:bodyDiv w:val="1"/>
      <w:marLeft w:val="0"/>
      <w:marRight w:val="0"/>
      <w:marTop w:val="0"/>
      <w:marBottom w:val="0"/>
      <w:divBdr>
        <w:top w:val="none" w:sz="0" w:space="0" w:color="auto"/>
        <w:left w:val="none" w:sz="0" w:space="0" w:color="auto"/>
        <w:bottom w:val="none" w:sz="0" w:space="0" w:color="auto"/>
        <w:right w:val="none" w:sz="0" w:space="0" w:color="auto"/>
      </w:divBdr>
    </w:div>
    <w:div w:id="1565067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t.bowers-brown@leedstrinity.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mportant%20Event%20Documents\Event%20templates\bsa-word-template-1-pur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8EC50-B27C-4D98-9895-D7658122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bsa-word-template-1-purple</Template>
  <TotalTime>1</TotalTime>
  <Pages>1</Pages>
  <Words>295</Words>
  <Characters>1535</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
    </vt:vector>
  </TitlesOfParts>
  <Company>Roundhouse</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Sailes</dc:creator>
  <cp:lastModifiedBy>Donna Willis</cp:lastModifiedBy>
  <cp:revision>2</cp:revision>
  <cp:lastPrinted>2013-05-13T11:50:00Z</cp:lastPrinted>
  <dcterms:created xsi:type="dcterms:W3CDTF">2024-06-17T10:13:00Z</dcterms:created>
  <dcterms:modified xsi:type="dcterms:W3CDTF">2024-06-17T10:13:00Z</dcterms:modified>
</cp:coreProperties>
</file>